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E764" w14:textId="340E9D47" w:rsidR="00F879D9" w:rsidRDefault="00F879D9" w:rsidP="00F879D9">
      <w:pPr>
        <w:pStyle w:val="Indice"/>
        <w:jc w:val="both"/>
      </w:pPr>
      <w:r w:rsidRPr="00F879D9">
        <w:rPr>
          <w:rFonts w:cs="Arial"/>
          <w:b/>
          <w:bCs/>
        </w:rPr>
        <w:t>Procedura negoziata telematica per l’affidamento di contratti pubblici di servizi e forniture, sulla base di prezzo fisso sulla base del quale gli operatori economici competeranno solo in base a criteri qualitativi ai sensi dell’art. 108, comma 5, del Codice. Progetto “DIANO E ALBURNI: TRA NATURA, ARTE E CULTURA</w:t>
      </w:r>
      <w:r w:rsidRPr="002825B7">
        <w:rPr>
          <w:rFonts w:cs="Arial"/>
        </w:rPr>
        <w:t>”</w:t>
      </w:r>
    </w:p>
    <w:p w14:paraId="4DC885C7" w14:textId="77777777" w:rsidR="00F879D9" w:rsidRDefault="00F879D9" w:rsidP="00345201">
      <w:pPr>
        <w:pStyle w:val="Indice"/>
      </w:pPr>
    </w:p>
    <w:p w14:paraId="29A171A9" w14:textId="77777777" w:rsidR="00F879D9" w:rsidRDefault="00F879D9" w:rsidP="00345201">
      <w:pPr>
        <w:pStyle w:val="Indice"/>
      </w:pPr>
    </w:p>
    <w:p w14:paraId="53FDB6A6" w14:textId="20C110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lastRenderedPageBreak/>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lastRenderedPageBreak/>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w:t>
      </w:r>
      <w:proofErr w:type="gramStart"/>
      <w:r w:rsidRPr="006533B7">
        <w:rPr>
          <w:sz w:val="20"/>
          <w:szCs w:val="20"/>
        </w:rPr>
        <w:t>ad</w:t>
      </w:r>
      <w:proofErr w:type="gramEnd"/>
      <w:r w:rsidRPr="006533B7">
        <w:rPr>
          <w:sz w:val="20"/>
          <w:szCs w:val="20"/>
        </w:rPr>
        <w:t xml:space="preserve">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w:t>
      </w:r>
      <w:proofErr w:type="gramStart"/>
      <w:r w:rsidRPr="006533B7">
        <w:rPr>
          <w:sz w:val="20"/>
          <w:szCs w:val="20"/>
        </w:rPr>
        <w:t>ad</w:t>
      </w:r>
      <w:proofErr w:type="gramEnd"/>
      <w:r w:rsidRPr="006533B7">
        <w:rPr>
          <w:sz w:val="20"/>
          <w:szCs w:val="20"/>
        </w:rPr>
        <w:t xml:space="preserve">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 xml:space="preserve">indicare il tipo di provvedimento … Sottoposizione a sequestro o confisca ai sensi dell'articolo 240-bis del </w:t>
      </w:r>
      <w:proofErr w:type="gramStart"/>
      <w:r w:rsidRPr="006533B7">
        <w:rPr>
          <w:rFonts w:cs="Courier New"/>
          <w:i/>
          <w:sz w:val="20"/>
          <w:szCs w:val="20"/>
        </w:rPr>
        <w:t>codice penale</w:t>
      </w:r>
      <w:proofErr w:type="gramEnd"/>
      <w:r w:rsidRPr="006533B7">
        <w:rPr>
          <w:rFonts w:cs="Courier New"/>
          <w:i/>
          <w:sz w:val="20"/>
          <w:szCs w:val="20"/>
        </w:rPr>
        <w:t xml:space="preserv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14:paraId="665300B8" w14:textId="77777777"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14:paraId="1DD87BC7" w14:textId="184B38C4"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25341361" w14:textId="5CAC1572"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415BD3CA" w14:textId="77777777" w:rsidR="00C41162" w:rsidRPr="006533B7" w:rsidRDefault="00C41162">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lastRenderedPageBreak/>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381B6274" w14:textId="7C2BD90A" w:rsidR="00C41162" w:rsidRPr="009E0928" w:rsidRDefault="00184306" w:rsidP="009E0928">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7777777"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77777777" w:rsidR="0063020D" w:rsidRPr="0063020D" w:rsidRDefault="0063020D" w:rsidP="0063020D">
      <w:pPr>
        <w:ind w:left="284"/>
        <w:jc w:val="both"/>
        <w:rPr>
          <w:sz w:val="20"/>
          <w:szCs w:val="20"/>
        </w:rPr>
      </w:pPr>
      <w:r w:rsidRPr="0063020D">
        <w:rPr>
          <w:sz w:val="20"/>
          <w:szCs w:val="20"/>
        </w:rPr>
        <w:lastRenderedPageBreak/>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29F83BB1" w14:textId="77777777" w:rsidR="00C41162" w:rsidRPr="006533B7" w:rsidRDefault="00184306" w:rsidP="00BF1D89">
      <w:pPr>
        <w:jc w:val="both"/>
        <w:rPr>
          <w:b/>
          <w:i/>
          <w:sz w:val="20"/>
          <w:szCs w:val="20"/>
        </w:rPr>
      </w:pPr>
      <w:r w:rsidRPr="006533B7">
        <w:rPr>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 xml:space="preserve">di impegnarsi, in caso di aggiudicazione, a consegnare alla Committente, entro 6 mesi dalla stipula del Contratto una relazione relativa all’assolvimento degli obblighi di cui alla medesima legge n. 68/1999 e alle eventuali sanzioni e </w:t>
      </w:r>
      <w:r w:rsidRPr="006533B7">
        <w:rPr>
          <w:sz w:val="20"/>
          <w:szCs w:val="20"/>
        </w:rPr>
        <w:lastRenderedPageBreak/>
        <w:t>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 xml:space="preserve">a </w:t>
      </w:r>
      <w:proofErr w:type="gramStart"/>
      <w:r w:rsidRPr="006533B7">
        <w:rPr>
          <w:bCs/>
          <w:sz w:val="20"/>
          <w:szCs w:val="20"/>
        </w:rPr>
        <w:t>porre in essere</w:t>
      </w:r>
      <w:proofErr w:type="gramEnd"/>
      <w:r w:rsidRPr="006533B7">
        <w:rPr>
          <w:bCs/>
          <w:sz w:val="20"/>
          <w:szCs w:val="20"/>
        </w:rPr>
        <w:t>,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6533B7">
        <w:rPr>
          <w:sz w:val="20"/>
          <w:szCs w:val="20"/>
        </w:rPr>
        <w:t>predetto</w:t>
      </w:r>
      <w:proofErr w:type="gramEnd"/>
      <w:r w:rsidR="00184306" w:rsidRPr="006533B7">
        <w:rPr>
          <w:sz w:val="20"/>
          <w:szCs w:val="20"/>
        </w:rPr>
        <w:t xml:space="preserve">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lastRenderedPageBreak/>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0C87" w14:textId="77777777" w:rsidR="00DB49CE" w:rsidRDefault="00DB49CE">
      <w:pPr>
        <w:spacing w:after="0" w:line="240" w:lineRule="auto"/>
      </w:pPr>
      <w:r>
        <w:separator/>
      </w:r>
    </w:p>
  </w:endnote>
  <w:endnote w:type="continuationSeparator" w:id="0">
    <w:p w14:paraId="2BEFB8CF" w14:textId="77777777" w:rsidR="00DB49CE" w:rsidRDefault="00DB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C0FC" w14:textId="77777777" w:rsidR="00DB49CE" w:rsidRDefault="00DB49CE">
      <w:pPr>
        <w:rPr>
          <w:sz w:val="12"/>
        </w:rPr>
      </w:pPr>
      <w:r>
        <w:separator/>
      </w:r>
    </w:p>
  </w:footnote>
  <w:footnote w:type="continuationSeparator" w:id="0">
    <w:p w14:paraId="105E3FD8" w14:textId="77777777" w:rsidR="00DB49CE" w:rsidRDefault="00DB49CE">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proofErr w:type="gramStart"/>
      <w:r>
        <w:rPr>
          <w:sz w:val="16"/>
          <w:szCs w:val="16"/>
        </w:rPr>
        <w:t>Pertanto</w:t>
      </w:r>
      <w:proofErr w:type="gramEnd"/>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0067713"/>
    <w:multiLevelType w:val="hybridMultilevel"/>
    <w:tmpl w:val="C2ACD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8061816">
    <w:abstractNumId w:val="5"/>
  </w:num>
  <w:num w:numId="2" w16cid:durableId="1375041970">
    <w:abstractNumId w:val="7"/>
  </w:num>
  <w:num w:numId="3" w16cid:durableId="499471680">
    <w:abstractNumId w:val="2"/>
  </w:num>
  <w:num w:numId="4" w16cid:durableId="1645037812">
    <w:abstractNumId w:val="4"/>
  </w:num>
  <w:num w:numId="5" w16cid:durableId="668752156">
    <w:abstractNumId w:val="0"/>
  </w:num>
  <w:num w:numId="6" w16cid:durableId="1932473325">
    <w:abstractNumId w:val="6"/>
  </w:num>
  <w:num w:numId="7" w16cid:durableId="1258323884">
    <w:abstractNumId w:val="1"/>
  </w:num>
  <w:num w:numId="8" w16cid:durableId="137784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345201"/>
    <w:rsid w:val="00432C93"/>
    <w:rsid w:val="00482016"/>
    <w:rsid w:val="00500F41"/>
    <w:rsid w:val="006026A2"/>
    <w:rsid w:val="0063020D"/>
    <w:rsid w:val="006533B7"/>
    <w:rsid w:val="0066102F"/>
    <w:rsid w:val="0069625E"/>
    <w:rsid w:val="00942E88"/>
    <w:rsid w:val="009B5141"/>
    <w:rsid w:val="009E0928"/>
    <w:rsid w:val="009E46B4"/>
    <w:rsid w:val="00A718A5"/>
    <w:rsid w:val="00B7690A"/>
    <w:rsid w:val="00BF1D89"/>
    <w:rsid w:val="00BF4C0F"/>
    <w:rsid w:val="00C41162"/>
    <w:rsid w:val="00C616E2"/>
    <w:rsid w:val="00D778F8"/>
    <w:rsid w:val="00DB49CE"/>
    <w:rsid w:val="00DD2513"/>
    <w:rsid w:val="00DF4EDE"/>
    <w:rsid w:val="00F05ACD"/>
    <w:rsid w:val="00F27E15"/>
    <w:rsid w:val="00F879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3853</Words>
  <Characters>21964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user</cp:lastModifiedBy>
  <cp:revision>2</cp:revision>
  <cp:lastPrinted>2023-12-13T08:59:00Z</cp:lastPrinted>
  <dcterms:created xsi:type="dcterms:W3CDTF">2024-02-06T09:47:00Z</dcterms:created>
  <dcterms:modified xsi:type="dcterms:W3CDTF">2024-04-24T10:56:00Z</dcterms:modified>
  <dc:language>it-IT</dc:language>
</cp:coreProperties>
</file>